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18"/>
          <w:szCs w:val="18"/>
        </w:rPr>
      </w:pPr>
      <w:r w:rsidDel="00000000" w:rsidR="00000000" w:rsidRPr="00000000">
        <w:rPr/>
        <w:drawing>
          <wp:inline distB="0" distT="0" distL="0" distR="0">
            <wp:extent cx="5760720" cy="1527175"/>
            <wp:effectExtent b="0" l="0" r="0" t="0"/>
            <wp:docPr descr="Bandeau lettre.jpg" id="1" name="image3.jpg"/>
            <a:graphic>
              <a:graphicData uri="http://schemas.openxmlformats.org/drawingml/2006/picture">
                <pic:pic>
                  <pic:nvPicPr>
                    <pic:cNvPr descr="Bandeau lettre.jpg" id="0" name="image3.jpg"/>
                    <pic:cNvPicPr preferRelativeResize="0"/>
                  </pic:nvPicPr>
                  <pic:blipFill>
                    <a:blip r:embed="rId7"/>
                    <a:srcRect b="0" l="0" r="0" t="0"/>
                    <a:stretch>
                      <a:fillRect/>
                    </a:stretch>
                  </pic:blipFill>
                  <pic:spPr>
                    <a:xfrm>
                      <a:off x="0" y="0"/>
                      <a:ext cx="5760720" cy="15271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center"/>
        <w:rPr>
          <w:b w:val="1"/>
          <w:bCs w:val="1"/>
          <w:sz w:val="18"/>
          <w:szCs w:val="18"/>
        </w:rPr>
      </w:pPr>
      <w:r w:rsidDel="00000000" w:rsidR="00000000" w:rsidRPr="00000000">
        <w:rPr>
          <w:rtl w:val="0"/>
        </w:rPr>
      </w:r>
    </w:p>
    <w:p w:rsidR="00000000" w:rsidDel="00000000" w:rsidP="00000000" w:rsidRDefault="00000000" w:rsidRPr="00000000" w14:paraId="00000003">
      <w:pPr>
        <w:spacing w:after="0" w:line="240" w:lineRule="auto"/>
        <w:jc w:val="center"/>
        <w:rPr>
          <w:b w:val="1"/>
          <w:bCs w:val="1"/>
          <w:sz w:val="18"/>
          <w:szCs w:val="18"/>
        </w:rPr>
      </w:pPr>
      <w:r w:rsidDel="00000000" w:rsidR="00000000" w:rsidRPr="00000000">
        <w:rPr>
          <w:rtl w:val="0"/>
        </w:rPr>
      </w:r>
    </w:p>
    <w:tbl>
      <w:tblPr>
        <w:tblStyle w:val="Table1"/>
        <w:tblW w:w="10132.0" w:type="dxa"/>
        <w:jc w:val="left"/>
        <w:tblInd w:w="170.0" w:type="dxa"/>
        <w:tblLayout w:type="fixed"/>
        <w:tblLook w:val="0400"/>
      </w:tblPr>
      <w:tblGrid>
        <w:gridCol w:w="8324"/>
        <w:gridCol w:w="1808"/>
        <w:tblGridChange w:id="0">
          <w:tblGrid>
            <w:gridCol w:w="8324"/>
            <w:gridCol w:w="1808"/>
          </w:tblGrid>
        </w:tblGridChange>
      </w:tblGrid>
      <w:tr>
        <w:trPr>
          <w:cantSplit w:val="0"/>
          <w:tblHeader w:val="0"/>
        </w:trPr>
        <w:tc>
          <w:tcPr/>
          <w:p w:rsidR="00000000" w:rsidDel="00000000" w:rsidP="00000000" w:rsidRDefault="00000000" w:rsidRPr="00000000" w14:paraId="00000004">
            <w:pPr>
              <w:rPr>
                <w:b w:val="1"/>
                <w:bCs w:val="1"/>
                <w:smallCaps w:val="1"/>
              </w:rPr>
            </w:pPr>
            <w:r w:rsidDel="00000000" w:rsidR="00000000" w:rsidRPr="00000000">
              <w:rPr>
                <w:b w:val="1"/>
                <w:bCs w:val="1"/>
                <w:rtl w:val="0"/>
              </w:rPr>
              <w:t xml:space="preserve">   Lettre n° 58 :</w:t>
            </w:r>
            <w:r w:rsidDel="00000000" w:rsidR="00000000" w:rsidRPr="00000000">
              <w:rPr>
                <w:rtl w:val="0"/>
              </w:rPr>
              <w:t xml:space="preserve">  </w:t>
            </w:r>
            <w:r w:rsidDel="00000000" w:rsidR="00000000" w:rsidRPr="00000000">
              <w:rPr>
                <w:b w:val="1"/>
                <w:bCs w:val="1"/>
                <w:rtl w:val="0"/>
              </w:rPr>
              <w:t xml:space="preserve">Maîtrise du risque incendie dans les installations nucléaires</w:t>
            </w:r>
            <w:r w:rsidDel="00000000" w:rsidR="00000000" w:rsidRPr="00000000">
              <w:rPr>
                <w:rtl w:val="0"/>
              </w:rPr>
            </w:r>
          </w:p>
        </w:tc>
        <w:tc>
          <w:tcPr/>
          <w:p w:rsidR="00000000" w:rsidDel="00000000" w:rsidP="00000000" w:rsidRDefault="00000000" w:rsidRPr="00000000" w14:paraId="00000005">
            <w:pPr>
              <w:rPr>
                <w:b w:val="1"/>
                <w:bCs w:val="1"/>
                <w:color w:val="000000"/>
              </w:rPr>
            </w:pPr>
            <w:r w:rsidDel="00000000" w:rsidR="00000000" w:rsidRPr="00000000">
              <w:rPr>
                <w:b w:val="1"/>
                <w:bCs w:val="1"/>
                <w:rtl w:val="0"/>
              </w:rPr>
              <w:t xml:space="preserve">31 juillet </w:t>
            </w:r>
            <w:r w:rsidDel="00000000" w:rsidR="00000000" w:rsidRPr="00000000">
              <w:rPr>
                <w:b w:val="1"/>
                <w:bCs w:val="1"/>
                <w:color w:val="000000"/>
                <w:rtl w:val="0"/>
              </w:rPr>
              <w:t xml:space="preserve">2026</w:t>
            </w:r>
          </w:p>
        </w:tc>
      </w:tr>
    </w:tbl>
    <w:p w:rsidR="00000000" w:rsidDel="00000000" w:rsidP="00000000" w:rsidRDefault="00000000" w:rsidRPr="00000000" w14:paraId="00000006">
      <w:pPr>
        <w:spacing w:after="0" w:line="240" w:lineRule="auto"/>
        <w:ind w:right="260"/>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07">
      <w:pPr>
        <w:spacing w:after="0" w:line="240" w:lineRule="auto"/>
        <w:ind w:left="426" w:right="260" w:firstLine="0"/>
        <w:jc w:val="both"/>
        <w:rPr>
          <w:color w:val="000000"/>
        </w:rPr>
      </w:pPr>
      <w:r w:rsidDel="00000000" w:rsidR="00000000" w:rsidRPr="00000000">
        <w:rPr>
          <w:rtl w:val="0"/>
        </w:rPr>
      </w:r>
    </w:p>
    <w:p w:rsidR="00000000" w:rsidDel="00000000" w:rsidP="00000000" w:rsidRDefault="00000000" w:rsidRPr="00000000" w14:paraId="00000008">
      <w:pPr>
        <w:spacing w:after="0" w:line="240" w:lineRule="auto"/>
        <w:ind w:left="426" w:right="260" w:firstLine="0"/>
        <w:jc w:val="both"/>
        <w:rPr>
          <w:color w:val="000000"/>
        </w:rPr>
      </w:pPr>
      <w:r w:rsidDel="00000000" w:rsidR="00000000" w:rsidRPr="00000000">
        <w:rPr>
          <w:color w:val="000000"/>
          <w:rtl w:val="0"/>
        </w:rPr>
        <w:t xml:space="preserve">La maîtrise du risque incendie dans les installations nucléaires est un enjeu majeur de sûreté, car un feu peut affecter simultanément plusieurs systèmes essentiels (électricité, contrôle-commande, refroidissement, intégrité du confinement). L’approche repose sur une combinaison de prévention, de protection, de détection, d’intervention </w:t>
      </w:r>
      <w:r w:rsidDel="00000000" w:rsidR="00000000" w:rsidRPr="00000000">
        <w:rPr>
          <w:rtl w:val="0"/>
        </w:rPr>
        <w:t xml:space="preserve">et de limitation</w:t>
      </w:r>
      <w:r w:rsidDel="00000000" w:rsidR="00000000" w:rsidRPr="00000000">
        <w:rPr>
          <w:color w:val="000000"/>
          <w:rtl w:val="0"/>
        </w:rPr>
        <w:t xml:space="preserve"> de la propagation et des conséquences. Ces dispositions sont de nature technique et organisationnelle.</w:t>
      </w:r>
    </w:p>
    <w:p w:rsidR="00000000" w:rsidDel="00000000" w:rsidP="00000000" w:rsidRDefault="00000000" w:rsidRPr="00000000" w14:paraId="00000009">
      <w:pPr>
        <w:spacing w:after="0" w:line="240" w:lineRule="auto"/>
        <w:ind w:left="426" w:right="260" w:firstLine="0"/>
        <w:jc w:val="both"/>
        <w:rPr>
          <w:color w:val="000000"/>
        </w:rPr>
      </w:pPr>
      <w:r w:rsidDel="00000000" w:rsidR="00000000" w:rsidRPr="00000000">
        <w:rPr>
          <w:rtl w:val="0"/>
        </w:rPr>
      </w:r>
    </w:p>
    <w:p w:rsidR="00000000" w:rsidDel="00000000" w:rsidP="00000000" w:rsidRDefault="00000000" w:rsidRPr="00000000" w14:paraId="0000000A">
      <w:pPr>
        <w:spacing w:after="0" w:line="240" w:lineRule="auto"/>
        <w:ind w:left="426" w:right="260" w:firstLine="0"/>
        <w:jc w:val="both"/>
        <w:rPr>
          <w:color w:val="000000"/>
        </w:rPr>
      </w:pPr>
      <w:r w:rsidDel="00000000" w:rsidR="00000000" w:rsidRPr="00000000">
        <w:rPr>
          <w:color w:val="000000"/>
          <w:rtl w:val="0"/>
        </w:rPr>
        <w:t xml:space="preserve">Pour assurer cette maîtrise, des dispositions sont déployées et organisées en différents niveaux de défense indépendants (appelée défense en profondeur) qui ont pour but d’empêcher le feu, le détecter rapidement, le contenir, et préserver les fonctions vitales de l’installation. Chaque niveau de défense contre l’incendie doit permettre de prévenir les dégradations susceptibles de conduire au niveau suivant et de limiter les conséquences de la défaillance du niveau précédent. </w:t>
      </w:r>
    </w:p>
    <w:p w:rsidR="00000000" w:rsidDel="00000000" w:rsidP="00000000" w:rsidRDefault="00000000" w:rsidRPr="00000000" w14:paraId="0000000B">
      <w:pPr>
        <w:spacing w:after="0" w:line="240" w:lineRule="auto"/>
        <w:ind w:left="426" w:right="260" w:firstLine="0"/>
        <w:jc w:val="both"/>
        <w:rPr>
          <w:color w:val="000000"/>
        </w:rPr>
      </w:pPr>
      <w:r w:rsidDel="00000000" w:rsidR="00000000" w:rsidRPr="00000000">
        <w:rPr>
          <w:rtl w:val="0"/>
        </w:rPr>
      </w:r>
    </w:p>
    <w:p w:rsidR="00000000" w:rsidDel="00000000" w:rsidP="00000000" w:rsidRDefault="00000000" w:rsidRPr="00000000" w14:paraId="0000000C">
      <w:pPr>
        <w:spacing w:after="0" w:line="240" w:lineRule="auto"/>
        <w:ind w:left="426" w:right="260" w:firstLine="0"/>
        <w:jc w:val="both"/>
        <w:rPr>
          <w:color w:val="000000"/>
        </w:rPr>
      </w:pPr>
      <w:r w:rsidDel="00000000" w:rsidR="00000000" w:rsidRPr="00000000">
        <w:rPr>
          <w:color w:val="000000"/>
          <w:rtl w:val="0"/>
        </w:rPr>
        <w:t xml:space="preserve">L’incendie est un initiateur possible d’accidents nucléaires. Il peut être à l’origine d’une rupture du confinement pouvant induire une dispersion de substances radioactives ou dangereuses dans l’installation, voire dans l’environnement.</w:t>
      </w:r>
    </w:p>
    <w:p w:rsidR="00000000" w:rsidDel="00000000" w:rsidP="00000000" w:rsidRDefault="00000000" w:rsidRPr="00000000" w14:paraId="0000000D">
      <w:pPr>
        <w:spacing w:after="0" w:line="240" w:lineRule="auto"/>
        <w:ind w:left="426" w:right="260" w:firstLine="0"/>
        <w:jc w:val="both"/>
        <w:rPr>
          <w:color w:val="000000"/>
        </w:rPr>
      </w:pPr>
      <w:r w:rsidDel="00000000" w:rsidR="00000000" w:rsidRPr="00000000">
        <w:rPr>
          <w:rtl w:val="0"/>
        </w:rPr>
      </w:r>
    </w:p>
    <w:p w:rsidR="00000000" w:rsidDel="00000000" w:rsidP="00000000" w:rsidRDefault="00000000" w:rsidRPr="00000000" w14:paraId="0000000E">
      <w:pPr>
        <w:spacing w:after="0" w:line="240" w:lineRule="auto"/>
        <w:ind w:left="426" w:right="260" w:firstLine="0"/>
        <w:jc w:val="both"/>
        <w:rPr>
          <w:color w:val="000000"/>
        </w:rPr>
      </w:pPr>
      <w:r w:rsidDel="00000000" w:rsidR="00000000" w:rsidRPr="00000000">
        <w:rPr>
          <w:color w:val="000000"/>
          <w:rtl w:val="0"/>
        </w:rPr>
        <w:t xml:space="preserve">                       </w:t>
      </w:r>
      <w:r w:rsidDel="00000000" w:rsidR="00000000" w:rsidRPr="00000000">
        <w:rPr>
          <w:color w:val="000000"/>
        </w:rPr>
        <w:drawing>
          <wp:inline distB="0" distT="0" distL="0" distR="0">
            <wp:extent cx="1800225" cy="1800225"/>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800225" cy="1800225"/>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2520315" cy="1800225"/>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520315" cy="180022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0" w:line="240" w:lineRule="auto"/>
        <w:ind w:left="426" w:right="260" w:firstLine="0"/>
        <w:jc w:val="both"/>
        <w:rPr>
          <w:color w:val="000000"/>
        </w:rPr>
      </w:pPr>
      <w:r w:rsidDel="00000000" w:rsidR="00000000" w:rsidRPr="00000000">
        <w:rPr>
          <w:rtl w:val="0"/>
        </w:rPr>
      </w:r>
    </w:p>
    <w:p w:rsidR="00000000" w:rsidDel="00000000" w:rsidP="00000000" w:rsidRDefault="00000000" w:rsidRPr="00000000" w14:paraId="00000010">
      <w:pPr>
        <w:rPr/>
      </w:pPr>
      <w:r w:rsidDel="00000000" w:rsidR="00000000" w:rsidRPr="00000000">
        <w:rPr>
          <w:rFonts w:ascii="Arial" w:cs="Arial" w:eastAsia="Arial" w:hAnsi="Arial"/>
          <w:b w:val="1"/>
          <w:bCs w:val="1"/>
          <w:i w:val="1"/>
          <w:iCs w:val="1"/>
          <w:color w:val="1f1f1f"/>
          <w:sz w:val="19"/>
          <w:szCs w:val="19"/>
          <w:rtl w:val="0"/>
        </w:rPr>
        <w:t xml:space="preserve">                Exemple </w:t>
      </w:r>
      <w:r w:rsidDel="00000000" w:rsidR="00000000" w:rsidRPr="00000000">
        <w:rPr>
          <w:rFonts w:ascii="Arial" w:cs="Arial" w:eastAsia="Arial" w:hAnsi="Arial"/>
          <w:b w:val="1"/>
          <w:bCs w:val="1"/>
          <w:i w:val="1"/>
          <w:iCs w:val="1"/>
          <w:color w:val="1f1f1f"/>
          <w:sz w:val="20"/>
          <w:szCs w:val="20"/>
          <w:rtl w:val="0"/>
        </w:rPr>
        <w:t xml:space="preserve">de départs de feux dans des chemins de câbles et dans une boîte à gants</w:t>
      </w:r>
      <w:r w:rsidDel="00000000" w:rsidR="00000000" w:rsidRPr="00000000">
        <w:rPr>
          <w:rtl w:val="0"/>
        </w:rPr>
      </w:r>
    </w:p>
    <w:p w:rsidR="00000000" w:rsidDel="00000000" w:rsidP="00000000" w:rsidRDefault="00000000" w:rsidRPr="00000000" w14:paraId="00000011">
      <w:pPr>
        <w:spacing w:after="0" w:line="259" w:lineRule="auto"/>
        <w:jc w:val="both"/>
        <w:rPr>
          <w:color w:val="000000"/>
          <w:sz w:val="24"/>
          <w:szCs w:val="24"/>
        </w:rPr>
      </w:pPr>
      <w:r w:rsidDel="00000000" w:rsidR="00000000" w:rsidRPr="00000000">
        <w:rPr>
          <w:rtl w:val="0"/>
        </w:rPr>
      </w:r>
    </w:p>
    <w:p w:rsidR="00000000" w:rsidDel="00000000" w:rsidP="00000000" w:rsidRDefault="00000000" w:rsidRPr="00000000" w14:paraId="00000012">
      <w:pPr>
        <w:spacing w:after="0" w:line="240" w:lineRule="auto"/>
        <w:ind w:left="284" w:firstLine="0"/>
        <w:jc w:val="both"/>
        <w:rPr>
          <w:b w:val="1"/>
          <w:bCs w:val="1"/>
          <w:color w:val="0000ff"/>
        </w:rPr>
      </w:pPr>
      <w:r w:rsidDel="00000000" w:rsidR="00000000" w:rsidRPr="00000000">
        <w:rPr>
          <w:color w:val="000000"/>
          <w:rtl w:val="0"/>
        </w:rPr>
        <w:t xml:space="preserve">Pour plus de détails, consulter la fiche argumentaire GAENA </w:t>
      </w:r>
      <w:r w:rsidDel="00000000" w:rsidR="00000000" w:rsidRPr="00000000">
        <w:rPr>
          <w:b w:val="1"/>
          <w:bCs w:val="1"/>
          <w:color w:val="000000"/>
          <w:rtl w:val="0"/>
        </w:rPr>
        <w:t xml:space="preserve">"</w:t>
      </w:r>
      <w:hyperlink r:id="rId10">
        <w:r w:rsidDel="00000000" w:rsidR="00000000" w:rsidRPr="00000000">
          <w:rPr>
            <w:b w:val="1"/>
            <w:bCs w:val="1"/>
            <w:color w:val="1155cc"/>
            <w:u w:val="single"/>
            <w:rtl w:val="0"/>
          </w:rPr>
          <w:t xml:space="preserve">Maîtrise du risque incendie dans les installations nucléaires</w:t>
        </w:r>
      </w:hyperlink>
      <w:r w:rsidDel="00000000" w:rsidR="00000000" w:rsidRPr="00000000">
        <w:rPr>
          <w:b w:val="1"/>
          <w:bCs w:val="1"/>
          <w:color w:val="0000ff"/>
          <w:rtl w:val="0"/>
        </w:rPr>
        <w:t xml:space="preserve">" .</w:t>
      </w:r>
    </w:p>
    <w:p w:rsidR="00000000" w:rsidDel="00000000" w:rsidP="00000000" w:rsidRDefault="00000000" w:rsidRPr="00000000" w14:paraId="00000013">
      <w:pPr>
        <w:spacing w:after="0" w:line="240" w:lineRule="auto"/>
        <w:rPr>
          <w:b w:val="1"/>
          <w:bCs w:val="1"/>
        </w:rPr>
      </w:pPr>
      <w:r w:rsidDel="00000000" w:rsidR="00000000" w:rsidRPr="00000000">
        <w:rPr>
          <w:rtl w:val="0"/>
        </w:rPr>
      </w:r>
    </w:p>
    <w:p w:rsidR="00000000" w:rsidDel="00000000" w:rsidP="00000000" w:rsidRDefault="00000000" w:rsidRPr="00000000" w14:paraId="00000014">
      <w:pPr>
        <w:spacing w:after="0" w:line="240" w:lineRule="auto"/>
        <w:rPr>
          <w:b w:val="1"/>
          <w:bCs w:val="1"/>
        </w:rPr>
      </w:pPr>
      <w:r w:rsidDel="00000000" w:rsidR="00000000" w:rsidRPr="00000000">
        <w:rPr>
          <w:rtl w:val="0"/>
        </w:rPr>
      </w:r>
    </w:p>
    <w:p w:rsidR="00000000" w:rsidDel="00000000" w:rsidP="00000000" w:rsidRDefault="00000000" w:rsidRPr="00000000" w14:paraId="00000015">
      <w:pPr>
        <w:spacing w:after="0" w:line="240" w:lineRule="auto"/>
        <w:jc w:val="center"/>
        <w:rPr>
          <w:b w:val="1"/>
          <w:bCs w:val="1"/>
          <w:color w:val="3840dc"/>
        </w:rPr>
      </w:pPr>
      <w:r w:rsidDel="00000000" w:rsidR="00000000" w:rsidRPr="00000000">
        <w:rPr>
          <w:rtl w:val="0"/>
        </w:rPr>
        <w:t xml:space="preserve">Le GAENA :</w:t>
      </w:r>
      <w:r w:rsidDel="00000000" w:rsidR="00000000" w:rsidRPr="00000000">
        <w:rPr>
          <w:color w:val="2525f3"/>
          <w:rtl w:val="0"/>
        </w:rPr>
        <w:t xml:space="preserve"> </w:t>
      </w:r>
      <w:hyperlink r:id="rId11">
        <w:r w:rsidDel="00000000" w:rsidR="00000000" w:rsidRPr="00000000">
          <w:rPr>
            <w:b w:val="1"/>
            <w:bCs w:val="1"/>
            <w:color w:val="0e0ef2"/>
            <w:rtl w:val="0"/>
          </w:rPr>
          <w:t xml:space="preserve">https://www.energethique.com/</w:t>
        </w:r>
      </w:hyperlink>
      <w:r w:rsidDel="00000000" w:rsidR="00000000" w:rsidRPr="00000000">
        <w:rPr>
          <w:rtl w:val="0"/>
        </w:rPr>
      </w:r>
    </w:p>
    <w:sectPr>
      <w:pgSz w:h="16838" w:w="11906" w:orient="portrait"/>
      <w:pgMar w:bottom="567" w:top="567" w:left="720" w:right="99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energethique.com/" TargetMode="External"/><Relationship Id="rId10" Type="http://schemas.openxmlformats.org/officeDocument/2006/relationships/hyperlink" Target="https://www.energethique.com/file/ARCEA/Argumentaire/Fiche_ACA_03_Maitrise_risque_incendie_INB.pdf" TargetMode="Externa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sa+BM2DxhKdJcmb3uILwB69vFQ==">CgMxLjA4AHIhMVlNRU4wejAyVWs5MTJneUdJTmhvdDdMNzAzZ3RBY3J2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